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1525546</wp:posOffset>
            </wp:positionH>
            <wp:positionV relativeFrom="margin">
              <wp:posOffset>-307504</wp:posOffset>
            </wp:positionV>
            <wp:extent cx="1952625" cy="622935"/>
            <wp:effectExtent b="0" l="0" r="0" t="0"/>
            <wp:wrapSquare wrapText="bothSides" distB="0" distT="0" distL="114300" distR="114300"/>
            <wp:docPr descr="Strasbourg Observers" id="1498845118" name="image6.png"/>
            <a:graphic>
              <a:graphicData uri="http://schemas.openxmlformats.org/drawingml/2006/picture">
                <pic:pic>
                  <pic:nvPicPr>
                    <pic:cNvPr descr="Strasbourg Observers"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22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3420386</wp:posOffset>
            </wp:positionH>
            <wp:positionV relativeFrom="margin">
              <wp:posOffset>-404925</wp:posOffset>
            </wp:positionV>
            <wp:extent cx="747405" cy="816610"/>
            <wp:effectExtent b="0" l="0" r="0" t="0"/>
            <wp:wrapNone/>
            <wp:docPr descr="600+ Black And White Birthday Cake Stock Illustrations ..." id="1498845119" name="image2.png"/>
            <a:graphic>
              <a:graphicData uri="http://schemas.openxmlformats.org/drawingml/2006/picture">
                <pic:pic>
                  <pic:nvPicPr>
                    <pic:cNvPr descr="600+ Black And White Birthday Cake Stock Illustrations ..." id="0" name="image2.png"/>
                    <pic:cNvPicPr preferRelativeResize="0"/>
                  </pic:nvPicPr>
                  <pic:blipFill>
                    <a:blip r:embed="rId8"/>
                    <a:srcRect b="18384" l="21597" r="21575" t="19503"/>
                    <a:stretch>
                      <a:fillRect/>
                    </a:stretch>
                  </pic:blipFill>
                  <pic:spPr>
                    <a:xfrm>
                      <a:off x="0" y="0"/>
                      <a:ext cx="747405" cy="8166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72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215e9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sz w:val="28"/>
          <w:szCs w:val="28"/>
          <w:rtl w:val="0"/>
        </w:rPr>
        <w:t xml:space="preserve">Strasbourg Observers 15th Anniversary Symposium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color w:val="215e9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sz w:val="28"/>
          <w:szCs w:val="28"/>
          <w:rtl w:val="0"/>
        </w:rPr>
        <w:t xml:space="preserve">Programme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color w:val="215e9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color w:val="156082"/>
        </w:rPr>
      </w:pPr>
      <w:r w:rsidDel="00000000" w:rsidR="00000000" w:rsidRPr="00000000">
        <w:rPr>
          <w:rFonts w:ascii="Arial" w:cs="Arial" w:eastAsia="Arial" w:hAnsi="Arial"/>
          <w:color w:val="156082"/>
          <w:rtl w:val="0"/>
        </w:rPr>
        <w:t xml:space="preserve">8-9 May 2025, </w:t>
      </w:r>
      <w:hyperlink r:id="rId9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KANTL</w:t>
        </w:r>
      </w:hyperlink>
      <w:r w:rsidDel="00000000" w:rsidR="00000000" w:rsidRPr="00000000">
        <w:rPr>
          <w:rFonts w:ascii="Arial" w:cs="Arial" w:eastAsia="Arial" w:hAnsi="Arial"/>
          <w:color w:val="156082"/>
          <w:rtl w:val="0"/>
        </w:rPr>
        <w:t xml:space="preserve"> Ghent </w:t>
      </w:r>
    </w:p>
    <w:p w:rsidR="00000000" w:rsidDel="00000000" w:rsidP="00000000" w:rsidRDefault="00000000" w:rsidRPr="00000000" w14:paraId="00000008">
      <w:pPr>
        <w:pStyle w:val="Heading1"/>
        <w:rPr>
          <w:rFonts w:ascii="Arial" w:cs="Arial" w:eastAsia="Arial" w:hAnsi="Arial"/>
          <w:color w:val="215e99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215e99"/>
          <w:sz w:val="32"/>
          <w:szCs w:val="32"/>
          <w:rtl w:val="0"/>
        </w:rPr>
        <w:t xml:space="preserve">Timetable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0" w:line="360" w:lineRule="auto"/>
        <w:ind w:left="720" w:hanging="720"/>
        <w:jc w:val="both"/>
        <w:rPr>
          <w:rFonts w:ascii="Arial" w:cs="Arial" w:eastAsia="Arial" w:hAnsi="Arial"/>
          <w:b w:val="0"/>
          <w:color w:val="215e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15e99"/>
          <w:sz w:val="22"/>
          <w:szCs w:val="22"/>
          <w:rtl w:val="0"/>
        </w:rPr>
        <w:t xml:space="preserve">Thursday 8 May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10:30 - 11:00 Registration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11.00 - 11.30 Welcome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11:30 - 12:30 Opening panel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12:30 - 13:30 Lunch break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13:30 - 15:15 Parallel panels 1 and 2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15:15 - 15:45 Coffee break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15:45 - 17:30 Parallel panels 3 and 4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17:30 - 19:00 Reception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b w:val="1"/>
          <w:color w:val="215e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sz w:val="22"/>
          <w:szCs w:val="22"/>
          <w:rtl w:val="0"/>
        </w:rPr>
        <w:t xml:space="preserve">Friday 9 May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9:00 - 10:45 Parallel panels 5 and 6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10:45 - 11:15 Break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11:15 - 13:00 Parallel panels 7 and 8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13:00 - 14:00 Lunch break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14:00 - 15:30 Keynote speaker (streamed)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b w:val="1"/>
          <w:color w:val="215e99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color w:val="215e99"/>
          <w:rtl w:val="0"/>
        </w:rPr>
        <w:t xml:space="preserve">THURSDAY 8 May 2025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b w:val="1"/>
          <w:color w:val="215e99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rtl w:val="0"/>
        </w:rPr>
        <w:t xml:space="preserve">11:30-12:30 Opening panel - Observing Strasbourg: merits and challenges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Panel on the place of blogging in the ECtHR scholarship landscape: discussion with blog contributors and readers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Meghan Campbell (University of Birmingham) – Oxford Human Rights Hub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Antoine Buyse (Utrecht University) – ECHR Blog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Harriet Ní Chinnéide (Hasselt University) and Tobias Mortier (Ghent University) – Strasbourg Observers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Moderator: Ingrida Milkaite (Ghent University)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Arial" w:cs="Arial" w:eastAsia="Arial" w:hAnsi="Arial"/>
          <w:b w:val="1"/>
          <w:color w:val="215e99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rtl w:val="0"/>
        </w:rPr>
        <w:t xml:space="preserve">13:30-15:15 Parallel panels 1 and 2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Arial" w:cs="Arial" w:eastAsia="Arial" w:hAnsi="Arial"/>
          <w:b w:val="1"/>
          <w:color w:val="215e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spacing w:after="0" w:before="0" w:line="360" w:lineRule="auto"/>
        <w:ind w:left="1440" w:hanging="720"/>
        <w:jc w:val="both"/>
        <w:rPr>
          <w:rFonts w:ascii="Arial" w:cs="Arial" w:eastAsia="Arial" w:hAnsi="Arial"/>
          <w:b w:val="0"/>
          <w:color w:val="215e9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15e99"/>
          <w:sz w:val="24"/>
          <w:szCs w:val="24"/>
          <w:rtl w:val="0"/>
        </w:rPr>
        <w:t xml:space="preserve">Panel 1: Stereotyped narratives on migration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43" w:hanging="425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Dolores Morondo Taramundi (University of Deusto):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The role of vulnerability in stereotyping discrimination against migrants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Elena Ghidoni (University of Deusto):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Testing the limits of the anti-stereotyping principle in the context of migrants’ family rights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Encarnación La Spina (University of Deusto):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“Refugees could not be irregular migrants”: questioning the (in)vulnerable stereotypical categories in the European Court of Human Rights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Respondent: Georgios Serghides (ECtHR Judge on behalf of Cyprus)</w:t>
      </w:r>
    </w:p>
    <w:p w:rsidR="00000000" w:rsidDel="00000000" w:rsidP="00000000" w:rsidRDefault="00000000" w:rsidRPr="00000000" w14:paraId="00000041">
      <w:pPr>
        <w:spacing w:line="276" w:lineRule="auto"/>
        <w:ind w:left="72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Chair: Alexandra Timmer (Utrecht University)</w:t>
      </w:r>
    </w:p>
    <w:p w:rsidR="00000000" w:rsidDel="00000000" w:rsidP="00000000" w:rsidRDefault="00000000" w:rsidRPr="00000000" w14:paraId="00000042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spacing w:after="0" w:before="0" w:line="360" w:lineRule="auto"/>
        <w:ind w:left="1440" w:hanging="720"/>
        <w:jc w:val="both"/>
        <w:rPr>
          <w:rFonts w:ascii="Arial" w:cs="Arial" w:eastAsia="Arial" w:hAnsi="Arial"/>
          <w:b w:val="0"/>
          <w:color w:val="215e9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15e99"/>
          <w:sz w:val="24"/>
          <w:szCs w:val="24"/>
          <w:rtl w:val="0"/>
        </w:rPr>
        <w:t xml:space="preserve">Panel 2: Linguistic approaches and/to the ECtHR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Yuliia Khyzhniak (University of Groningen):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Previous judgments as narrative constraint: how the European Court of Human Rights narrates departures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Alberto Godioli &amp; Jennifer Young (University of Groningen)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: Humour, satire and the meaning of ‘context’: interdisciplinary perspectives on ECtHR jurisprudence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Babette De Naeyer (University of Pompeu Fabra):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Speaking before thinking: revisiting the ECtHR’s distinction between written and spoken expression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shd w:fill="ffffff" w:val="clear"/>
        <w:spacing w:after="0" w:before="0" w:line="360" w:lineRule="auto"/>
        <w:ind w:left="1440" w:firstLine="0"/>
        <w:jc w:val="both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Respondent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 Kateřina Šimáčková (ECtHR Judge on behalf of the Czech Republic)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Chair: Lien Stolle (Ghent University) 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Arial" w:cs="Arial" w:eastAsia="Arial" w:hAnsi="Arial"/>
          <w:b w:val="1"/>
          <w:color w:val="215e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Arial" w:cs="Arial" w:eastAsia="Arial" w:hAnsi="Arial"/>
          <w:b w:val="1"/>
          <w:color w:val="215e99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rtl w:val="0"/>
        </w:rPr>
        <w:t xml:space="preserve">15:45-17:30 Parallel panels 3 and 4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ind w:left="720" w:firstLine="0"/>
        <w:jc w:val="both"/>
        <w:rPr>
          <w:rFonts w:ascii="Arial" w:cs="Arial" w:eastAsia="Arial" w:hAnsi="Arial"/>
          <w:b w:val="1"/>
          <w:color w:val="215e99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rtl w:val="0"/>
        </w:rPr>
        <w:t xml:space="preserve">Panel 3: Interaction with other legal orders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Akiko Ejima (Meiji University):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Global significance of the Strasbourg human rights case law – the impact of the ECtHR jurisprudence on Asian apex courts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Jasmine Sommardal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Max Planck Institute for the Study of Crime, Security and Law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Five axes of alignment: the ECtHR’s approach to the EU legal order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Demetra Loizou (&amp; Nadia Kornioti) (University of Central Lancashire):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The unbearable comfort of armed conflict in the case law of the ECtHR: a comparative analysis</w:t>
      </w:r>
    </w:p>
    <w:p w:rsidR="00000000" w:rsidDel="00000000" w:rsidP="00000000" w:rsidRDefault="00000000" w:rsidRPr="00000000" w14:paraId="0000005B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Respondent: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Angelika Nußberger (former ECtHR Judge on behalf of Germany)</w:t>
      </w:r>
    </w:p>
    <w:p w:rsidR="00000000" w:rsidDel="00000000" w:rsidP="00000000" w:rsidRDefault="00000000" w:rsidRPr="00000000" w14:paraId="0000005C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Chair: Thibaut Lesseliers (KU Leuven)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spacing w:after="0" w:before="0" w:line="360" w:lineRule="auto"/>
        <w:ind w:left="1440" w:hanging="720"/>
        <w:jc w:val="both"/>
        <w:rPr>
          <w:rFonts w:ascii="Arial" w:cs="Arial" w:eastAsia="Arial" w:hAnsi="Arial"/>
          <w:b w:val="0"/>
          <w:color w:val="215e9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15e99"/>
          <w:sz w:val="24"/>
          <w:szCs w:val="24"/>
          <w:rtl w:val="0"/>
        </w:rPr>
        <w:t xml:space="preserve">Panel 4: Migration: a human rights challenge for Europe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Pedro Sanz Diaz (Dublin City University) &amp; Alex Geraki Trimi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Ghent University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‘Strasbourg reversal’ beyond the state’s right to control immigration: the ECtHR’s unquestioned distinction between forced and voluntary migration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Jessica Klüger (VU Amsterdam and Justus Liebig University Giessen):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Litigation and influence: Unpacking the institutional dynamics of the Strasbourg Court in responding to governments’ arguments in migration case law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Monica Avila Curras (VU Amsterdam):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Stepping up against migrants: when states intervene as third parties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Respondent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Frédéric Krenc (ECtHR Judge on behalf of Belgium) </w:t>
      </w:r>
    </w:p>
    <w:p w:rsidR="00000000" w:rsidDel="00000000" w:rsidP="00000000" w:rsidRDefault="00000000" w:rsidRPr="00000000" w14:paraId="00000063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Chair: Harriet Ní Chinnéide (Hasselt University)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left"/>
        <w:rPr>
          <w:rFonts w:ascii="Arial" w:cs="Arial" w:eastAsia="Arial" w:hAnsi="Arial"/>
          <w:b w:val="1"/>
          <w:color w:val="215e99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rtl w:val="0"/>
        </w:rPr>
        <w:t xml:space="preserve">FRIDAY 9 May 2025</w:t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Arial" w:cs="Arial" w:eastAsia="Arial" w:hAnsi="Arial"/>
          <w:b w:val="1"/>
          <w:color w:val="215e99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rtl w:val="0"/>
        </w:rPr>
        <w:t xml:space="preserve">9:00-10:45 Parallel panels 5 and 6</w:t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ind w:left="720" w:firstLine="0"/>
        <w:jc w:val="both"/>
        <w:rPr>
          <w:rFonts w:ascii="Arial" w:cs="Arial" w:eastAsia="Arial" w:hAnsi="Arial"/>
          <w:b w:val="1"/>
          <w:color w:val="215e99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rtl w:val="0"/>
        </w:rPr>
        <w:t xml:space="preserve">Panel 5: Categorical inconsistencies and their consequences 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Vladislava Stoyanova (Lund University):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Causation: Human Rights Law Style. Why and How for Establishing breach of positive obligations under the ECHR?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Gaia Zanotti (University of Edinburgh):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Does the ECtHR protect Labour rights? Some reflections on the jurisprudence of art. 1 prot.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Moritz Baumgärtel (University College Roosevelt, Middelburg and South-West University “Neofit Rlski”, Blagoevgrad, Bulgaria): 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2"/>
          <w:szCs w:val="22"/>
          <w:highlight w:val="white"/>
          <w:rtl w:val="0"/>
        </w:rPr>
        <w:t xml:space="preserve">Why the European Court of Human Rights Should Adopt an Animus-Based Approach to Xenophobic Discrimination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shd w:fill="ffffff" w:val="clear"/>
        <w:spacing w:after="0" w:before="0" w:line="360" w:lineRule="auto"/>
        <w:ind w:left="720" w:firstLine="720"/>
        <w:jc w:val="both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Respondent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2"/>
          <w:szCs w:val="22"/>
          <w:rtl w:val="0"/>
        </w:rPr>
        <w:t xml:space="preserve">: 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María Elósegui (ECtHR Judge on behalf of Spain)</w:t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Chair: Sibel Yılmaz Coşkun (visiting researcher at Ghent University)</w:t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1"/>
        <w:spacing w:after="0" w:before="0" w:line="360" w:lineRule="auto"/>
        <w:ind w:left="1440" w:hanging="720"/>
        <w:jc w:val="both"/>
        <w:rPr>
          <w:rFonts w:ascii="Arial" w:cs="Arial" w:eastAsia="Arial" w:hAnsi="Arial"/>
          <w:b w:val="0"/>
          <w:color w:val="215e9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15e99"/>
          <w:sz w:val="24"/>
          <w:szCs w:val="24"/>
          <w:rtl w:val="0"/>
        </w:rPr>
        <w:t xml:space="preserve">Panel 6: Procedural and strategical configurations in a Court of Justice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Joe Finnerty (University of Cologne):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Understanding ‘impact’?: The case prioritization strategy of the ECtHR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Lize Glas (Radboud University Nijmegen):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Putting the guarantee of non-repetition at the center in the ECtHR’s case law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Ezgi Özlu (University of Strasbourg)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: Exploring the place of interim measures in a ‘more balanced court’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Respondent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Paul Lemmens (former ECtHR Judge on behalf of Belgium)</w:t>
      </w:r>
    </w:p>
    <w:p w:rsidR="00000000" w:rsidDel="00000000" w:rsidP="00000000" w:rsidRDefault="00000000" w:rsidRPr="00000000" w14:paraId="0000007A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Chair: Stijn Smet (Hasselt University; VMRI)</w:t>
      </w:r>
    </w:p>
    <w:p w:rsidR="00000000" w:rsidDel="00000000" w:rsidP="00000000" w:rsidRDefault="00000000" w:rsidRPr="00000000" w14:paraId="0000007B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rFonts w:ascii="Arial" w:cs="Arial" w:eastAsia="Arial" w:hAnsi="Arial"/>
          <w:color w:val="215e99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rtl w:val="0"/>
        </w:rPr>
        <w:t xml:space="preserve">11:15-13:00 Parallel panels 7 and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1"/>
        <w:spacing w:after="0" w:before="0" w:line="360" w:lineRule="auto"/>
        <w:ind w:left="1440" w:hanging="720"/>
        <w:jc w:val="both"/>
        <w:rPr>
          <w:rFonts w:ascii="Arial" w:cs="Arial" w:eastAsia="Arial" w:hAnsi="Arial"/>
          <w:b w:val="0"/>
          <w:color w:val="215e9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15e99"/>
          <w:sz w:val="24"/>
          <w:szCs w:val="24"/>
          <w:rtl w:val="0"/>
        </w:rPr>
        <w:t xml:space="preserve">Panel 7: Subsidiarity, restraint and procedural review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Giulio Fedele (University of Rome ‘Unitelma Sapienza’):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From negative to positive subsidiarity. Insights from the application of the ECHR in horizontal disputes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Alain Zysset (University of Glasgow):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Normative gaps at the European Court of Human Rights: Merits and Limits of the ‘political process theory’ in Strasbourg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80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Lorenzo Acconciamessa (University of Palermo):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The Notion of “Shared Responsibility” and its Impact on the Relationships between the ECtHR and the Domestic Authorities 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Respondent: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Oddný Mjöll Arnardóttir (ECtHR Judge on behalf of Iceland)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Chair: Laurens Lavrysen (Belgian Council of State)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spacing w:after="0" w:before="0" w:line="360" w:lineRule="auto"/>
        <w:ind w:left="1440" w:hanging="720"/>
        <w:jc w:val="both"/>
        <w:rPr>
          <w:rFonts w:ascii="Arial" w:cs="Arial" w:eastAsia="Arial" w:hAnsi="Arial"/>
          <w:b w:val="0"/>
          <w:color w:val="215e9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15e99"/>
          <w:sz w:val="24"/>
          <w:szCs w:val="24"/>
          <w:rtl w:val="0"/>
        </w:rPr>
        <w:t xml:space="preserve">Panel 8: The fundamental or essential aspects of Convention rights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Cathérine Van de Graaf (Ghent University and University of Cologne) and Beril Onder (University of Cologne):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Unpacking the Court’s unwillingness to investigate Article 14: not fundamental or distinct enough or too sensitive and complex?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Anaïs Brucher (European University Institute): 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2"/>
          <w:szCs w:val="22"/>
          <w:highlight w:val="white"/>
          <w:rtl w:val="0"/>
        </w:rPr>
        <w:t xml:space="preserve">Unpacking the Many Uses of the ‘Essence of Rights’ in ECtHR Case Law: Symbol, Paradox and Normative Statement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80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Ioanna Pervou (Democritus University of Thrace):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The ECtHR as a state dispute court: what future for article 33 ECHR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Respondent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Françoise Tulkens (former ECtHR Judge on behalf of Belgium)</w:t>
      </w:r>
    </w:p>
    <w:p w:rsidR="00000000" w:rsidDel="00000000" w:rsidP="00000000" w:rsidRDefault="00000000" w:rsidRPr="00000000" w14:paraId="00000094">
      <w:pPr>
        <w:spacing w:line="276" w:lineRule="auto"/>
        <w:ind w:left="720" w:firstLine="72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Chair: Merel Vrancken (UHasselt)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ind w:left="72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jc w:val="both"/>
        <w:rPr>
          <w:rFonts w:ascii="Arial" w:cs="Arial" w:eastAsia="Arial" w:hAnsi="Arial"/>
          <w:b w:val="1"/>
          <w:color w:val="215e99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rtl w:val="0"/>
        </w:rPr>
        <w:t xml:space="preserve">14:00-15:30 Keynote by Dr. Marialena Tsirli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Chief Registrar of the European Court of Human Rights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Followed by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914"/>
        </w:tabs>
        <w:spacing w:line="360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Chair: Cathérine Van de Graaf (Ghent University and University of Cologne)</w:t>
      </w:r>
    </w:p>
    <w:sectPr>
      <w:headerReference r:id="rId10" w:type="default"/>
      <w:footerReference r:id="rId11" w:type="default"/>
      <w:footerReference r:id="rId12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285820</wp:posOffset>
          </wp:positionV>
          <wp:extent cx="580582" cy="261262"/>
          <wp:effectExtent b="0" l="0" r="0" t="0"/>
          <wp:wrapSquare wrapText="bothSides" distB="114300" distT="114300" distL="114300" distR="114300"/>
          <wp:docPr id="149884512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0582" cy="2612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4533900</wp:posOffset>
          </wp:positionH>
          <wp:positionV relativeFrom="paragraph">
            <wp:posOffset>114300</wp:posOffset>
          </wp:positionV>
          <wp:extent cx="971650" cy="772730"/>
          <wp:effectExtent b="0" l="0" r="0" t="0"/>
          <wp:wrapSquare wrapText="bothSides" distB="114300" distT="114300" distL="114300" distR="114300"/>
          <wp:docPr id="14988451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12345" l="0" r="0" t="12345"/>
                  <a:stretch>
                    <a:fillRect/>
                  </a:stretch>
                </pic:blipFill>
                <pic:spPr>
                  <a:xfrm>
                    <a:off x="0" y="0"/>
                    <a:ext cx="971650" cy="7727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3248025</wp:posOffset>
          </wp:positionH>
          <wp:positionV relativeFrom="paragraph">
            <wp:posOffset>218888</wp:posOffset>
          </wp:positionV>
          <wp:extent cx="1076325" cy="403622"/>
          <wp:effectExtent b="0" l="0" r="0" t="0"/>
          <wp:wrapSquare wrapText="bothSides" distB="114300" distT="114300" distL="114300" distR="114300"/>
          <wp:docPr id="149884512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325" cy="4036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E">
    <w:pPr>
      <w:tabs>
        <w:tab w:val="center" w:leader="none" w:pos="4513"/>
        <w:tab w:val="right" w:leader="none" w:pos="9026"/>
      </w:tabs>
      <w:ind w:left="720" w:right="360" w:hanging="36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1133475</wp:posOffset>
          </wp:positionH>
          <wp:positionV relativeFrom="paragraph">
            <wp:posOffset>9338</wp:posOffset>
          </wp:positionV>
          <wp:extent cx="412115" cy="450215"/>
          <wp:effectExtent b="0" l="0" r="0" t="0"/>
          <wp:wrapNone/>
          <wp:docPr descr="600+ Black And White Birthday Cake Stock Illustrations ..." id="1498845117" name="image3.png"/>
          <a:graphic>
            <a:graphicData uri="http://schemas.openxmlformats.org/drawingml/2006/picture">
              <pic:pic>
                <pic:nvPicPr>
                  <pic:cNvPr descr="600+ Black And White Birthday Cake Stock Illustrations ..." id="0" name="image3.png"/>
                  <pic:cNvPicPr preferRelativeResize="0"/>
                </pic:nvPicPr>
                <pic:blipFill>
                  <a:blip r:embed="rId4"/>
                  <a:srcRect b="18384" l="21597" r="21575" t="19503"/>
                  <a:stretch>
                    <a:fillRect/>
                  </a:stretch>
                </pic:blipFill>
                <pic:spPr>
                  <a:xfrm>
                    <a:off x="0" y="0"/>
                    <a:ext cx="412115" cy="4502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57151</wp:posOffset>
          </wp:positionH>
          <wp:positionV relativeFrom="paragraph">
            <wp:posOffset>56963</wp:posOffset>
          </wp:positionV>
          <wp:extent cx="1077595" cy="343535"/>
          <wp:effectExtent b="0" l="0" r="0" t="0"/>
          <wp:wrapSquare wrapText="bothSides" distB="0" distT="0" distL="114300" distR="114300"/>
          <wp:docPr descr="Strasbourg Observers" id="1498845122" name="image6.png"/>
          <a:graphic>
            <a:graphicData uri="http://schemas.openxmlformats.org/drawingml/2006/picture">
              <pic:pic>
                <pic:nvPicPr>
                  <pic:cNvPr descr="Strasbourg Observers" id="0" name="image6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7595" cy="3435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F">
    <w:pPr>
      <w:tabs>
        <w:tab w:val="center" w:leader="none" w:pos="4513"/>
        <w:tab w:val="right" w:leader="none" w:pos="9026"/>
      </w:tabs>
      <w:spacing w:line="360" w:lineRule="auto"/>
      <w:jc w:val="both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B004E8"/>
    <w:pPr>
      <w:keepNext w:val="1"/>
      <w:keepLines w:val="1"/>
      <w:spacing w:after="80" w:before="360"/>
      <w:outlineLvl w:val="0"/>
    </w:pPr>
    <w:rPr>
      <w:rFonts w:ascii="Calibri" w:hAnsi="Calibri" w:cstheme="majorBidi" w:eastAsiaTheme="majorEastAsia"/>
      <w:b w:val="1"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6B18E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6B18E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6B18E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B18E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6B18E9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B18E9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B18E9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B18E9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6B18E9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B004E8"/>
    <w:rPr>
      <w:rFonts w:ascii="Calibri" w:hAnsi="Calibri" w:cstheme="majorBidi" w:eastAsiaTheme="majorEastAsia"/>
      <w:b w:val="1"/>
      <w:color w:val="000000" w:themeColor="text1"/>
      <w:sz w:val="28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B18E9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B18E9"/>
    <w:rPr>
      <w:rFonts w:cstheme="majorBidi" w:eastAsiaTheme="majorEastAsia"/>
      <w:color w:val="0f4761" w:themeColor="accent1" w:themeShade="0000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B18E9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B18E9"/>
    <w:rPr>
      <w:rFonts w:cstheme="majorBidi" w:eastAsiaTheme="majorEastAsia"/>
      <w:color w:val="0f4761" w:themeColor="accent1" w:themeShade="0000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B18E9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B18E9"/>
    <w:rPr>
      <w:rFonts w:cstheme="majorBidi" w:eastAsiaTheme="majorEastAsia"/>
      <w:color w:val="595959" w:themeColor="text1" w:themeTint="0000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B18E9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B18E9"/>
    <w:rPr>
      <w:rFonts w:cstheme="majorBidi" w:eastAsiaTheme="majorEastAsia"/>
      <w:color w:val="272727" w:themeColor="text1" w:themeTint="0000D8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06B18E9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spacing w:after="160"/>
    </w:pPr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B18E9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B18E9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B18E9"/>
    <w:rPr>
      <w:i w:val="1"/>
      <w:iCs w:val="1"/>
      <w:color w:val="404040" w:themeColor="text1" w:themeTint="0000BF"/>
      <w:lang w:val="en-GB"/>
    </w:rPr>
  </w:style>
  <w:style w:type="paragraph" w:styleId="ListParagraph">
    <w:name w:val="List Paragraph"/>
    <w:basedOn w:val="Normal"/>
    <w:uiPriority w:val="34"/>
    <w:qFormat w:val="1"/>
    <w:rsid w:val="006B18E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B18E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B18E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B18E9"/>
    <w:rPr>
      <w:i w:val="1"/>
      <w:iCs w:val="1"/>
      <w:color w:val="0f4761" w:themeColor="accent1" w:themeShade="0000BF"/>
      <w:lang w:val="en-GB"/>
    </w:rPr>
  </w:style>
  <w:style w:type="character" w:styleId="IntenseReference">
    <w:name w:val="Intense Reference"/>
    <w:basedOn w:val="DefaultParagraphFont"/>
    <w:uiPriority w:val="32"/>
    <w:qFormat w:val="1"/>
    <w:rsid w:val="006B18E9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191A14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GB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3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63779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3779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3779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37794"/>
    <w:rPr>
      <w:b w:val="1"/>
      <w:bCs w:val="1"/>
      <w:sz w:val="20"/>
      <w:szCs w:val="20"/>
      <w:lang w:val="en-GB"/>
    </w:rPr>
  </w:style>
  <w:style w:type="paragraph" w:styleId="Revision">
    <w:name w:val="Revision"/>
    <w:hidden w:val="1"/>
    <w:uiPriority w:val="99"/>
    <w:semiHidden w:val="1"/>
    <w:rsid w:val="00123BBE"/>
  </w:style>
  <w:style w:type="paragraph" w:styleId="Header">
    <w:name w:val="header"/>
    <w:basedOn w:val="Normal"/>
    <w:link w:val="HeaderChar"/>
    <w:uiPriority w:val="99"/>
    <w:unhideWhenUsed w:val="1"/>
    <w:rsid w:val="007A5F6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5F68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7A5F6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5F68"/>
    <w:rPr>
      <w:lang w:val="en-GB"/>
    </w:rPr>
  </w:style>
  <w:style w:type="numbering" w:styleId="CurrentList1" w:customStyle="1">
    <w:name w:val="Current List1"/>
    <w:uiPriority w:val="99"/>
    <w:rsid w:val="00B004E8"/>
    <w:pPr>
      <w:numPr>
        <w:numId w:val="15"/>
      </w:numPr>
    </w:pPr>
  </w:style>
  <w:style w:type="character" w:styleId="PageNumber">
    <w:name w:val="page number"/>
    <w:basedOn w:val="DefaultParagraphFont"/>
    <w:uiPriority w:val="99"/>
    <w:semiHidden w:val="1"/>
    <w:unhideWhenUsed w:val="1"/>
    <w:rsid w:val="00F9019B"/>
  </w:style>
  <w:style w:type="character" w:styleId="Hyperlink">
    <w:name w:val="Hyperlink"/>
    <w:basedOn w:val="DefaultParagraphFont"/>
    <w:uiPriority w:val="99"/>
    <w:unhideWhenUsed w:val="1"/>
    <w:rsid w:val="002D65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D657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s://maps.app.goo.gl/K4GEWP3NJQ549eyb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5.png"/><Relationship Id="rId4" Type="http://schemas.openxmlformats.org/officeDocument/2006/relationships/image" Target="media/image3.png"/><Relationship Id="rId5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fYwscJoFG59SmmbBNpYUwNxoxw==">CgMxLjA4AHIhMWRMcDJYNW04UWpNaUotSU41XzQtZkNQdEd0aE9zMlJG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2025-04-01T17:11:00Z</dcterms:created>
  <dc:creator>Cathérine Van de Graaf</dc:creator>
</cp:coreProperties>
</file>